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6" w:lineRule="exact"/>
        <w:ind w:left="0" w:firstLine="0"/>
        <w:jc w:val="center"/>
        <w:rPr>
          <w:rFonts w:hint="eastAsia" w:ascii="创艺简标宋" w:eastAsia="创艺简标宋" w:cs="创艺简标宋"/>
          <w:color w:val="auto"/>
          <w:kern w:val="2"/>
          <w:sz w:val="44"/>
          <w:szCs w:val="44"/>
          <w:lang w:val="en-US" w:eastAsia="zh-CN"/>
        </w:rPr>
      </w:pPr>
      <w:r>
        <w:rPr>
          <w:rFonts w:hint="eastAsia" w:ascii="创艺简标宋" w:eastAsia="创艺简标宋" w:cs="创艺简标宋"/>
          <w:color w:val="auto"/>
          <w:kern w:val="2"/>
          <w:sz w:val="44"/>
          <w:szCs w:val="44"/>
          <w:lang w:val="en-US" w:eastAsia="zh-CN"/>
        </w:rPr>
        <w:t>广东紫金农村商业银行股份有限公司关于</w:t>
      </w:r>
    </w:p>
    <w:p>
      <w:pPr>
        <w:widowControl/>
        <w:spacing w:line="586" w:lineRule="exact"/>
        <w:jc w:val="center"/>
        <w:rPr>
          <w:rFonts w:hint="eastAsia" w:ascii="仿宋_GB2312" w:eastAsia="仿宋_GB2312" w:cs="Times New Roman"/>
          <w:color w:val="auto"/>
          <w:kern w:val="2"/>
          <w:sz w:val="32"/>
          <w:szCs w:val="32"/>
        </w:rPr>
      </w:pPr>
      <w:r>
        <w:rPr>
          <w:rFonts w:hint="eastAsia" w:ascii="创艺简标宋" w:eastAsia="创艺简标宋" w:cs="创艺简标宋"/>
          <w:color w:val="auto"/>
          <w:kern w:val="2"/>
          <w:sz w:val="44"/>
          <w:szCs w:val="44"/>
          <w:lang w:val="en-US" w:eastAsia="zh-CN"/>
        </w:rPr>
        <w:t>2025年第四季度一般关联交易情况的公告</w:t>
      </w:r>
    </w:p>
    <w:p>
      <w:pPr>
        <w:widowControl w:val="0"/>
        <w:spacing w:line="586" w:lineRule="exact"/>
        <w:jc w:val="both"/>
        <w:rPr>
          <w:rFonts w:hint="eastAsia" w:ascii="仿宋_GB2312" w:eastAsia="仿宋_GB2312" w:cs="仿宋_GB2312"/>
          <w:kern w:val="2"/>
          <w:sz w:val="32"/>
          <w:szCs w:val="32"/>
          <w:lang w:val="en-US" w:eastAsia="zh-CN"/>
        </w:rPr>
      </w:pPr>
    </w:p>
    <w:p>
      <w:pPr>
        <w:widowControl w:val="0"/>
        <w:spacing w:line="586" w:lineRule="exact"/>
        <w:ind w:firstLine="638" w:firstLineChars="200"/>
        <w:jc w:val="both"/>
        <w:rPr>
          <w:rFonts w:hint="eastAsia" w:ascii="仿宋_GB2312" w:eastAsia="仿宋_GB2312" w:cs="Times New Roman"/>
          <w:color w:val="auto"/>
          <w:kern w:val="2"/>
          <w:sz w:val="32"/>
          <w:szCs w:val="32"/>
          <w:lang w:val="en-US" w:eastAsia="zh-CN"/>
        </w:rPr>
      </w:pPr>
      <w:r>
        <w:rPr>
          <w:rFonts w:hint="eastAsia" w:ascii="仿宋_GB2312" w:eastAsia="仿宋_GB2312" w:cs="Times New Roman"/>
          <w:color w:val="auto"/>
          <w:kern w:val="2"/>
          <w:sz w:val="32"/>
          <w:szCs w:val="32"/>
        </w:rPr>
        <w:t>根据</w:t>
      </w:r>
      <w:r>
        <w:rPr>
          <w:rFonts w:hint="eastAsia" w:ascii="仿宋_GB2312" w:eastAsia="仿宋_GB2312" w:cs="Times New Roman"/>
          <w:color w:val="auto"/>
          <w:kern w:val="2"/>
          <w:sz w:val="32"/>
          <w:szCs w:val="32"/>
          <w:lang w:eastAsia="zh-CN"/>
        </w:rPr>
        <w:t>《银行保险机构关联交易管理办法》（中国银行保险监督管理委员会令〔</w:t>
      </w:r>
      <w:r>
        <w:rPr>
          <w:rFonts w:hint="eastAsia" w:ascii="仿宋_GB2312" w:eastAsia="仿宋_GB2312" w:cs="Times New Roman"/>
          <w:color w:val="auto"/>
          <w:kern w:val="2"/>
          <w:sz w:val="32"/>
          <w:szCs w:val="32"/>
          <w:lang w:val="en-US" w:eastAsia="zh-CN"/>
        </w:rPr>
        <w:t>2022</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lang w:val="en-US" w:eastAsia="zh-CN"/>
        </w:rPr>
        <w:t>1号</w:t>
      </w:r>
      <w:r>
        <w:rPr>
          <w:rFonts w:hint="eastAsia" w:ascii="仿宋_GB2312" w:eastAsia="仿宋_GB2312" w:cs="Times New Roman"/>
          <w:color w:val="auto"/>
          <w:kern w:val="2"/>
          <w:sz w:val="32"/>
          <w:szCs w:val="32"/>
          <w:lang w:eastAsia="zh-CN"/>
        </w:rPr>
        <w:t>）有关规定，现将广东紫金农村商业银行股份有限公司（以下简称本行）</w:t>
      </w:r>
      <w:r>
        <w:rPr>
          <w:rFonts w:hint="eastAsia" w:ascii="仿宋_GB2312" w:eastAsia="仿宋_GB2312" w:cs="Times New Roman"/>
          <w:color w:val="auto"/>
          <w:kern w:val="2"/>
          <w:sz w:val="32"/>
          <w:szCs w:val="32"/>
          <w:lang w:val="en-US" w:eastAsia="zh-CN"/>
        </w:rPr>
        <w:t>2025</w:t>
      </w:r>
      <w:r>
        <w:rPr>
          <w:rFonts w:hint="eastAsia" w:ascii="仿宋_GB2312" w:eastAsia="仿宋_GB2312" w:cs="Times New Roman"/>
          <w:color w:val="auto"/>
          <w:kern w:val="2"/>
          <w:sz w:val="32"/>
          <w:szCs w:val="32"/>
        </w:rPr>
        <w:t>年</w:t>
      </w:r>
      <w:r>
        <w:rPr>
          <w:rFonts w:hint="eastAsia" w:ascii="仿宋_GB2312" w:eastAsia="仿宋_GB2312" w:cs="Times New Roman"/>
          <w:color w:val="auto"/>
          <w:kern w:val="2"/>
          <w:sz w:val="32"/>
          <w:szCs w:val="32"/>
          <w:lang w:val="en-US" w:eastAsia="zh-CN"/>
        </w:rPr>
        <w:t>第四季度一般关联交易情况进行季度合并披露，具体情况如下：</w:t>
      </w:r>
    </w:p>
    <w:p>
      <w:pPr>
        <w:widowControl w:val="0"/>
        <w:spacing w:line="586" w:lineRule="exact"/>
        <w:ind w:left="0" w:firstLine="638" w:firstLineChars="200"/>
        <w:jc w:val="both"/>
        <w:rPr>
          <w:rFonts w:hint="eastAsia" w:ascii="黑体" w:eastAsia="黑体" w:cs="黑体"/>
          <w:color w:val="auto"/>
          <w:kern w:val="2"/>
          <w:sz w:val="32"/>
          <w:szCs w:val="32"/>
          <w:lang w:eastAsia="zh-CN"/>
        </w:rPr>
      </w:pPr>
      <w:bookmarkStart w:id="0" w:name="_Toc5802_WPSOffice_Level1"/>
      <w:r>
        <w:rPr>
          <w:rFonts w:hint="eastAsia" w:ascii="黑体" w:eastAsia="黑体" w:cs="黑体"/>
          <w:color w:val="auto"/>
          <w:kern w:val="2"/>
          <w:sz w:val="32"/>
          <w:szCs w:val="32"/>
        </w:rPr>
        <w:t>一、关联交易</w:t>
      </w:r>
      <w:r>
        <w:rPr>
          <w:rFonts w:hint="eastAsia" w:ascii="黑体" w:eastAsia="黑体" w:cs="黑体"/>
          <w:color w:val="auto"/>
          <w:kern w:val="2"/>
          <w:sz w:val="32"/>
          <w:szCs w:val="32"/>
          <w:lang w:eastAsia="zh-CN"/>
        </w:rPr>
        <w:t>类型及金额</w:t>
      </w:r>
    </w:p>
    <w:p>
      <w:pPr>
        <w:widowControl w:val="0"/>
        <w:spacing w:line="586" w:lineRule="exact"/>
        <w:ind w:firstLine="638" w:firstLineChars="200"/>
        <w:jc w:val="both"/>
        <w:rPr>
          <w:rFonts w:hint="eastAsia" w:ascii="仿宋_GB2312" w:eastAsia="仿宋_GB2312" w:cs="仿宋_GB2312"/>
          <w:kern w:val="2"/>
          <w:sz w:val="32"/>
          <w:szCs w:val="32"/>
          <w:lang w:eastAsia="zh-CN"/>
        </w:rPr>
      </w:pPr>
      <w:r>
        <w:rPr>
          <w:rFonts w:hint="eastAsia" w:ascii="仿宋_GB2312" w:hAnsi="仿宋_GB2312" w:eastAsia="仿宋_GB2312" w:cs="仿宋_GB2312"/>
          <w:color w:val="auto"/>
          <w:kern w:val="2"/>
          <w:sz w:val="32"/>
          <w:szCs w:val="32"/>
          <w:lang w:eastAsia="zh-CN"/>
        </w:rPr>
        <w:t>本行深入贯彻落实国家法律法规和银行业关联交易各项监管规定，关联交易严格遵循诚实信用及公允原则。</w:t>
      </w:r>
      <w:bookmarkEnd w:id="0"/>
      <w:bookmarkStart w:id="1" w:name="_Toc6998_WPSOffice_Level1"/>
      <w:r>
        <w:rPr>
          <w:rFonts w:hint="eastAsia" w:ascii="仿宋_GB2312" w:eastAsia="仿宋_GB2312" w:cs="仿宋_GB2312"/>
          <w:kern w:val="2"/>
          <w:sz w:val="32"/>
          <w:szCs w:val="32"/>
          <w:lang w:val="en-US" w:eastAsia="zh-CN"/>
        </w:rPr>
        <w:t>2025年第四季度，</w:t>
      </w:r>
      <w:r>
        <w:rPr>
          <w:rFonts w:hint="eastAsia" w:ascii="仿宋_GB2312" w:eastAsia="仿宋_GB2312" w:cs="仿宋_GB2312"/>
          <w:kern w:val="2"/>
          <w:sz w:val="32"/>
          <w:szCs w:val="32"/>
          <w:highlight w:val="none"/>
          <w:lang w:val="en-US" w:eastAsia="zh-CN"/>
        </w:rPr>
        <w:t>本行发生关联交易21笔，金额合计8054.81</w:t>
      </w:r>
      <w:r>
        <w:rPr>
          <w:rFonts w:hint="eastAsia" w:ascii="仿宋_GB2312" w:eastAsia="仿宋_GB2312" w:cs="仿宋_GB2312"/>
          <w:kern w:val="2"/>
          <w:sz w:val="32"/>
          <w:szCs w:val="32"/>
          <w:highlight w:val="none"/>
          <w:lang w:eastAsia="zh-CN"/>
        </w:rPr>
        <w:t>万元。</w:t>
      </w:r>
      <w:r>
        <w:rPr>
          <w:rFonts w:hint="eastAsia" w:ascii="仿宋_GB2312" w:eastAsia="仿宋_GB2312" w:cs="仿宋_GB2312"/>
          <w:kern w:val="2"/>
          <w:sz w:val="32"/>
          <w:szCs w:val="32"/>
          <w:lang w:eastAsia="zh-CN"/>
        </w:rPr>
        <w:t>其中按业务类型划分，授信类</w:t>
      </w:r>
      <w:r>
        <w:rPr>
          <w:rFonts w:hint="eastAsia" w:ascii="仿宋_GB2312" w:eastAsia="仿宋_GB2312" w:cs="仿宋_GB2312"/>
          <w:kern w:val="2"/>
          <w:sz w:val="32"/>
          <w:szCs w:val="32"/>
          <w:highlight w:val="none"/>
          <w:lang w:val="en-US" w:eastAsia="zh-CN"/>
        </w:rPr>
        <w:t>6</w:t>
      </w:r>
      <w:r>
        <w:rPr>
          <w:rFonts w:hint="eastAsia" w:ascii="仿宋_GB2312" w:eastAsia="仿宋_GB2312" w:cs="仿宋_GB2312"/>
          <w:kern w:val="2"/>
          <w:sz w:val="32"/>
          <w:szCs w:val="32"/>
          <w:lang w:val="en-US" w:eastAsia="zh-CN"/>
        </w:rPr>
        <w:t>笔，</w:t>
      </w:r>
      <w:r>
        <w:rPr>
          <w:rFonts w:hint="eastAsia" w:ascii="仿宋_GB2312" w:eastAsia="仿宋_GB2312" w:cs="仿宋_GB2312"/>
          <w:kern w:val="2"/>
          <w:sz w:val="32"/>
          <w:szCs w:val="32"/>
          <w:lang w:eastAsia="zh-CN"/>
        </w:rPr>
        <w:t>存款类</w:t>
      </w:r>
      <w:r>
        <w:rPr>
          <w:rFonts w:hint="eastAsia" w:ascii="仿宋_GB2312" w:eastAsia="仿宋_GB2312" w:cs="仿宋_GB2312"/>
          <w:kern w:val="2"/>
          <w:sz w:val="32"/>
          <w:szCs w:val="32"/>
          <w:lang w:val="en-US" w:eastAsia="zh-CN"/>
        </w:rPr>
        <w:t>15笔，未新增</w:t>
      </w:r>
      <w:r>
        <w:rPr>
          <w:rFonts w:hint="eastAsia" w:ascii="仿宋_GB2312" w:eastAsia="仿宋_GB2312" w:cs="仿宋_GB2312"/>
          <w:kern w:val="2"/>
          <w:sz w:val="32"/>
          <w:szCs w:val="32"/>
          <w:lang w:eastAsia="zh-CN"/>
        </w:rPr>
        <w:t>租赁类、资产转移、购买服务和其他类型关联交易；按交易属性划分，重大关联交易为</w:t>
      </w:r>
      <w:r>
        <w:rPr>
          <w:rFonts w:hint="eastAsia" w:ascii="仿宋_GB2312" w:eastAsia="仿宋_GB2312" w:cs="仿宋_GB2312"/>
          <w:kern w:val="2"/>
          <w:sz w:val="32"/>
          <w:szCs w:val="32"/>
          <w:lang w:val="en-US" w:eastAsia="zh-CN"/>
        </w:rPr>
        <w:t>6笔，其他均为一般关联交易。</w:t>
      </w:r>
    </w:p>
    <w:p>
      <w:pPr>
        <w:widowControl w:val="0"/>
        <w:spacing w:line="586" w:lineRule="exact"/>
        <w:ind w:firstLine="638" w:firstLineChars="200"/>
        <w:jc w:val="both"/>
        <w:rPr>
          <w:rFonts w:hint="eastAsia"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lang w:eastAsia="zh-CN"/>
        </w:rPr>
        <w:t>（一）授信类关联交易</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eastAsia="zh-CN"/>
        </w:rPr>
        <w:t>至</w:t>
      </w:r>
      <w:r>
        <w:rPr>
          <w:rFonts w:hint="eastAsia" w:ascii="仿宋_GB2312" w:eastAsia="仿宋_GB2312" w:cs="仿宋_GB2312"/>
          <w:color w:val="auto"/>
          <w:kern w:val="2"/>
          <w:sz w:val="32"/>
          <w:szCs w:val="32"/>
          <w:highlight w:val="none"/>
          <w:lang w:eastAsia="zh-CN"/>
        </w:rPr>
        <w:t>202</w:t>
      </w:r>
      <w:r>
        <w:rPr>
          <w:rFonts w:hint="eastAsia" w:ascii="仿宋_GB2312" w:eastAsia="仿宋_GB2312" w:cs="仿宋_GB2312"/>
          <w:color w:val="auto"/>
          <w:kern w:val="2"/>
          <w:sz w:val="32"/>
          <w:szCs w:val="32"/>
          <w:highlight w:val="none"/>
          <w:lang w:val="en-US" w:eastAsia="zh-CN"/>
        </w:rPr>
        <w:t>5</w:t>
      </w:r>
      <w:r>
        <w:rPr>
          <w:rFonts w:hint="eastAsia" w:ascii="仿宋_GB2312" w:eastAsia="仿宋_GB2312" w:cs="仿宋_GB2312"/>
          <w:color w:val="auto"/>
          <w:kern w:val="2"/>
          <w:sz w:val="32"/>
          <w:szCs w:val="32"/>
          <w:highlight w:val="none"/>
          <w:lang w:eastAsia="zh-CN"/>
        </w:rPr>
        <w:t>年</w:t>
      </w:r>
      <w:r>
        <w:rPr>
          <w:rFonts w:hint="eastAsia" w:ascii="仿宋_GB2312" w:eastAsia="仿宋_GB2312" w:cs="仿宋_GB2312"/>
          <w:color w:val="auto"/>
          <w:kern w:val="2"/>
          <w:sz w:val="32"/>
          <w:szCs w:val="32"/>
          <w:highlight w:val="none"/>
          <w:lang w:val="en-US" w:eastAsia="zh-CN"/>
        </w:rPr>
        <w:t>12</w:t>
      </w:r>
      <w:r>
        <w:rPr>
          <w:rFonts w:hint="eastAsia" w:ascii="仿宋_GB2312" w:eastAsia="仿宋_GB2312" w:cs="仿宋_GB2312"/>
          <w:color w:val="auto"/>
          <w:kern w:val="2"/>
          <w:sz w:val="32"/>
          <w:szCs w:val="32"/>
          <w:highlight w:val="none"/>
          <w:lang w:eastAsia="zh-CN"/>
        </w:rPr>
        <w:t>月末</w:t>
      </w:r>
      <w:r>
        <w:rPr>
          <w:rFonts w:hint="eastAsia" w:ascii="仿宋_GB2312" w:eastAsia="仿宋_GB2312" w:cs="仿宋_GB2312"/>
          <w:kern w:val="2"/>
          <w:sz w:val="32"/>
          <w:szCs w:val="32"/>
          <w:highlight w:val="none"/>
          <w:lang w:eastAsia="zh-CN"/>
        </w:rPr>
        <w:t>，本行授信类关联交易</w:t>
      </w:r>
      <w:r>
        <w:rPr>
          <w:rFonts w:hint="eastAsia" w:ascii="仿宋_GB2312" w:eastAsia="仿宋_GB2312" w:cs="仿宋_GB2312"/>
          <w:kern w:val="2"/>
          <w:sz w:val="32"/>
          <w:szCs w:val="32"/>
          <w:highlight w:val="none"/>
          <w:lang w:val="en-US" w:eastAsia="zh-CN"/>
        </w:rPr>
        <w:t>21笔（含表内贷款18笔，表外贷款3笔），</w:t>
      </w:r>
      <w:r>
        <w:rPr>
          <w:rFonts w:hint="eastAsia" w:ascii="仿宋_GB2312" w:eastAsia="仿宋_GB2312" w:cs="仿宋_GB2312"/>
          <w:kern w:val="2"/>
          <w:sz w:val="32"/>
          <w:szCs w:val="32"/>
          <w:highlight w:val="none"/>
          <w:lang w:eastAsia="zh-CN"/>
        </w:rPr>
        <w:t>授信金额15585.90万元，授信余额14574.25万元。其中表内贷款授信金额10241.90万元，授信余额9638.25万元；表外贷款授信金额5344</w:t>
      </w:r>
      <w:r>
        <w:rPr>
          <w:rFonts w:hint="eastAsia" w:ascii="仿宋_GB2312" w:eastAsia="仿宋_GB2312" w:cs="仿宋_GB2312"/>
          <w:kern w:val="2"/>
          <w:sz w:val="32"/>
          <w:szCs w:val="32"/>
          <w:highlight w:val="none"/>
          <w:lang w:val="en-US" w:eastAsia="zh-CN"/>
        </w:rPr>
        <w:t>.00</w:t>
      </w:r>
      <w:r>
        <w:rPr>
          <w:rFonts w:hint="eastAsia" w:ascii="仿宋_GB2312" w:eastAsia="仿宋_GB2312" w:cs="仿宋_GB2312"/>
          <w:kern w:val="2"/>
          <w:sz w:val="32"/>
          <w:szCs w:val="32"/>
          <w:highlight w:val="none"/>
          <w:lang w:eastAsia="zh-CN"/>
        </w:rPr>
        <w:t>万元，授信余额4936</w:t>
      </w:r>
      <w:r>
        <w:rPr>
          <w:rFonts w:hint="eastAsia" w:ascii="仿宋_GB2312" w:eastAsia="仿宋_GB2312" w:cs="仿宋_GB2312"/>
          <w:kern w:val="2"/>
          <w:sz w:val="32"/>
          <w:szCs w:val="32"/>
          <w:highlight w:val="none"/>
          <w:lang w:val="en-US" w:eastAsia="zh-CN"/>
        </w:rPr>
        <w:t>.00</w:t>
      </w:r>
      <w:r>
        <w:rPr>
          <w:rFonts w:hint="eastAsia" w:ascii="仿宋_GB2312" w:eastAsia="仿宋_GB2312" w:cs="仿宋_GB2312"/>
          <w:kern w:val="2"/>
          <w:sz w:val="32"/>
          <w:szCs w:val="32"/>
          <w:highlight w:val="none"/>
          <w:lang w:eastAsia="zh-CN"/>
        </w:rPr>
        <w:t>万元。未发生同业授信业务。</w:t>
      </w:r>
    </w:p>
    <w:p>
      <w:pPr>
        <w:widowControl w:val="0"/>
        <w:spacing w:line="586" w:lineRule="exact"/>
        <w:ind w:firstLine="638" w:firstLineChars="200"/>
        <w:jc w:val="both"/>
        <w:rPr>
          <w:rFonts w:hint="eastAsia" w:ascii="仿宋_GB2312" w:eastAsia="仿宋_GB2312" w:cs="仿宋_GB2312"/>
          <w:kern w:val="2"/>
          <w:sz w:val="32"/>
          <w:szCs w:val="32"/>
          <w:highlight w:val="none"/>
          <w:lang w:eastAsia="zh-CN"/>
        </w:rPr>
      </w:pPr>
      <w:r>
        <w:rPr>
          <w:rFonts w:hint="eastAsia" w:ascii="仿宋_GB2312" w:hAnsi="仿宋_GB2312" w:eastAsia="仿宋_GB2312" w:cs="仿宋_GB2312"/>
          <w:kern w:val="2"/>
          <w:sz w:val="32"/>
          <w:szCs w:val="32"/>
          <w:lang w:eastAsia="zh-CN"/>
        </w:rPr>
        <w:t>（二）非授信类关联交易</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eastAsia="zh-CN"/>
        </w:rPr>
        <w:t>2</w:t>
      </w:r>
      <w:r>
        <w:rPr>
          <w:rFonts w:hint="eastAsia" w:ascii="仿宋_GB2312" w:hAnsi="仿宋_GB2312" w:eastAsia="仿宋_GB2312" w:cs="仿宋_GB2312"/>
          <w:kern w:val="2"/>
          <w:sz w:val="32"/>
          <w:szCs w:val="32"/>
          <w:lang w:val="en-US" w:eastAsia="zh-CN"/>
        </w:rPr>
        <w:t>02</w:t>
      </w:r>
      <w:r>
        <w:rPr>
          <w:rFonts w:hint="eastAsia" w:ascii="仿宋_GB2312" w:eastAsia="仿宋_GB2312" w:cs="仿宋_GB2312"/>
          <w:kern w:val="2"/>
          <w:sz w:val="32"/>
          <w:szCs w:val="32"/>
          <w:lang w:val="en-US" w:eastAsia="zh-CN"/>
        </w:rPr>
        <w:t>5年第四季度，</w:t>
      </w:r>
      <w:r>
        <w:rPr>
          <w:rFonts w:hint="eastAsia" w:ascii="仿宋_GB2312" w:eastAsia="仿宋_GB2312" w:cs="仿宋_GB2312"/>
          <w:kern w:val="2"/>
          <w:sz w:val="32"/>
          <w:szCs w:val="32"/>
          <w:lang w:eastAsia="zh-CN"/>
        </w:rPr>
        <w:t>本行发生存款类关联交易金额</w:t>
      </w:r>
      <w:r>
        <w:rPr>
          <w:rFonts w:hint="eastAsia" w:ascii="仿宋_GB2312" w:eastAsia="仿宋_GB2312" w:cs="仿宋_GB2312"/>
          <w:kern w:val="2"/>
          <w:sz w:val="32"/>
          <w:szCs w:val="32"/>
          <w:highlight w:val="none"/>
          <w:lang w:val="en-US" w:eastAsia="zh-CN"/>
        </w:rPr>
        <w:t>95.81万元</w:t>
      </w:r>
      <w:r>
        <w:rPr>
          <w:rFonts w:hint="eastAsia" w:ascii="仿宋_GB2312" w:eastAsia="仿宋_GB2312" w:cs="仿宋_GB2312"/>
          <w:kern w:val="2"/>
          <w:sz w:val="32"/>
          <w:szCs w:val="32"/>
          <w:highlight w:val="none"/>
          <w:lang w:eastAsia="zh-CN"/>
        </w:rPr>
        <w:t>。</w:t>
      </w:r>
    </w:p>
    <w:p>
      <w:pPr>
        <w:widowControl w:val="0"/>
        <w:spacing w:line="586" w:lineRule="exact"/>
        <w:ind w:firstLine="638" w:firstLineChars="200"/>
        <w:jc w:val="both"/>
        <w:rPr>
          <w:rFonts w:hint="eastAsia" w:ascii="黑体" w:eastAsia="黑体" w:cs="黑体"/>
          <w:color w:val="auto"/>
          <w:kern w:val="2"/>
          <w:sz w:val="32"/>
          <w:szCs w:val="32"/>
          <w:lang w:eastAsia="zh-CN"/>
        </w:rPr>
      </w:pPr>
      <w:r>
        <w:rPr>
          <w:rFonts w:hint="eastAsia" w:ascii="黑体" w:eastAsia="黑体" w:cs="黑体"/>
          <w:color w:val="auto"/>
          <w:kern w:val="2"/>
          <w:sz w:val="32"/>
          <w:szCs w:val="32"/>
        </w:rPr>
        <w:t>二、</w:t>
      </w:r>
      <w:r>
        <w:rPr>
          <w:rFonts w:hint="eastAsia" w:ascii="黑体" w:eastAsia="黑体" w:cs="黑体"/>
          <w:color w:val="auto"/>
          <w:kern w:val="2"/>
          <w:sz w:val="32"/>
          <w:szCs w:val="32"/>
          <w:lang w:eastAsia="zh-CN"/>
        </w:rPr>
        <w:t>关联交易监管比例执行情况</w:t>
      </w:r>
    </w:p>
    <w:p>
      <w:pPr>
        <w:widowControl w:val="0"/>
        <w:spacing w:line="586" w:lineRule="exact"/>
        <w:ind w:firstLine="638" w:firstLineChars="200"/>
        <w:jc w:val="both"/>
        <w:rPr>
          <w:rFonts w:hint="eastAsia" w:ascii="仿宋_GB2312" w:eastAsia="仿宋_GB2312" w:cs="仿宋_GB2312"/>
          <w:kern w:val="2"/>
          <w:sz w:val="32"/>
          <w:szCs w:val="32"/>
          <w:lang w:eastAsia="zh-CN"/>
        </w:rPr>
      </w:pPr>
      <w:r>
        <w:rPr>
          <w:rFonts w:hint="eastAsia" w:ascii="仿宋_GB2312" w:eastAsia="仿宋_GB2312" w:cs="仿宋_GB2312"/>
          <w:kern w:val="2"/>
          <w:sz w:val="32"/>
          <w:szCs w:val="32"/>
          <w:lang w:eastAsia="zh-CN"/>
        </w:rPr>
        <w:t>至</w:t>
      </w:r>
      <w:r>
        <w:rPr>
          <w:rFonts w:hint="eastAsia" w:ascii="仿宋_GB2312" w:eastAsia="仿宋_GB2312" w:cs="仿宋_GB2312"/>
          <w:kern w:val="2"/>
          <w:sz w:val="32"/>
          <w:szCs w:val="32"/>
          <w:lang w:val="en-US" w:eastAsia="zh-CN"/>
        </w:rPr>
        <w:t>2025年12月末，</w:t>
      </w:r>
      <w:r>
        <w:rPr>
          <w:rFonts w:hint="eastAsia" w:ascii="仿宋_GB2312" w:eastAsia="仿宋_GB2312" w:cs="仿宋_GB2312"/>
          <w:kern w:val="2"/>
          <w:sz w:val="32"/>
          <w:szCs w:val="32"/>
          <w:lang w:eastAsia="zh-CN"/>
        </w:rPr>
        <w:t>表内单个关联方的授信余额最大关联方为河源市友华农业发展有限公司，授信余额1727万元，占上季末资本净额的</w:t>
      </w:r>
      <w:r>
        <w:rPr>
          <w:rFonts w:hint="eastAsia" w:ascii="仿宋_GB2312" w:eastAsia="仿宋_GB2312" w:cs="仿宋_GB2312"/>
          <w:kern w:val="2"/>
          <w:sz w:val="32"/>
          <w:szCs w:val="32"/>
          <w:lang w:val="en-US" w:eastAsia="zh-CN"/>
        </w:rPr>
        <w:t>1.76</w:t>
      </w:r>
      <w:r>
        <w:rPr>
          <w:rFonts w:hint="eastAsia" w:ascii="仿宋_GB2312" w:eastAsia="仿宋_GB2312" w:cs="仿宋_GB2312"/>
          <w:kern w:val="2"/>
          <w:sz w:val="32"/>
          <w:szCs w:val="32"/>
          <w:lang w:eastAsia="zh-CN"/>
        </w:rPr>
        <w:t>%；表外单个关联方的授信余额最大关联方为河源市三友农牧集团有限公司，授信余额2498万元，已于</w:t>
      </w:r>
      <w:r>
        <w:rPr>
          <w:rFonts w:hint="eastAsia" w:ascii="仿宋_GB2312" w:eastAsia="仿宋_GB2312" w:cs="仿宋_GB2312"/>
          <w:kern w:val="2"/>
          <w:sz w:val="32"/>
          <w:szCs w:val="32"/>
          <w:lang w:val="en-US" w:eastAsia="zh-CN"/>
        </w:rPr>
        <w:t>2025年12月12</w:t>
      </w:r>
      <w:bookmarkStart w:id="2" w:name="_GoBack"/>
      <w:bookmarkEnd w:id="2"/>
      <w:r>
        <w:rPr>
          <w:rFonts w:hint="eastAsia" w:ascii="仿宋_GB2312" w:eastAsia="仿宋_GB2312" w:cs="仿宋_GB2312"/>
          <w:kern w:val="2"/>
          <w:sz w:val="32"/>
          <w:szCs w:val="32"/>
          <w:lang w:val="en-US" w:eastAsia="zh-CN"/>
        </w:rPr>
        <w:t>日进行核销处置</w:t>
      </w:r>
      <w:r>
        <w:rPr>
          <w:rFonts w:hint="eastAsia" w:ascii="仿宋_GB2312" w:eastAsia="仿宋_GB2312" w:cs="仿宋_GB2312"/>
          <w:kern w:val="2"/>
          <w:sz w:val="32"/>
          <w:szCs w:val="32"/>
          <w:lang w:eastAsia="zh-CN"/>
        </w:rPr>
        <w:t>，当前表外授信余额为2498元，核销前授信余额占上季末资本净额的2.63%，上述单个关联方授信余额占比均未超过本行资本净额的10%监管限额。</w:t>
      </w:r>
    </w:p>
    <w:p>
      <w:pPr>
        <w:widowControl w:val="0"/>
        <w:spacing w:line="586" w:lineRule="exact"/>
        <w:ind w:firstLine="638" w:firstLineChars="200"/>
        <w:jc w:val="both"/>
        <w:rPr>
          <w:rFonts w:hint="default"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highlight w:val="none"/>
          <w:lang w:eastAsia="zh-CN"/>
        </w:rPr>
        <w:t>表内单个关联法人或非法人组织所在集团客户的授信余额最大为东源县泰和农业发展有限公司系列，授信余额7</w:t>
      </w:r>
      <w:r>
        <w:rPr>
          <w:rFonts w:hint="eastAsia" w:ascii="仿宋_GB2312" w:eastAsia="仿宋_GB2312" w:cs="仿宋_GB2312"/>
          <w:kern w:val="2"/>
          <w:sz w:val="32"/>
          <w:szCs w:val="32"/>
          <w:highlight w:val="none"/>
          <w:lang w:val="en-US" w:eastAsia="zh-CN"/>
        </w:rPr>
        <w:t>959</w:t>
      </w:r>
      <w:r>
        <w:rPr>
          <w:rFonts w:hint="eastAsia" w:ascii="仿宋_GB2312" w:eastAsia="仿宋_GB2312" w:cs="仿宋_GB2312"/>
          <w:kern w:val="2"/>
          <w:sz w:val="32"/>
          <w:szCs w:val="32"/>
          <w:highlight w:val="none"/>
          <w:lang w:eastAsia="zh-CN"/>
        </w:rPr>
        <w:t>万元，占上季末资本净额的8</w:t>
      </w:r>
      <w:r>
        <w:rPr>
          <w:rFonts w:hint="eastAsia" w:ascii="仿宋_GB2312" w:eastAsia="仿宋_GB2312" w:cs="仿宋_GB2312"/>
          <w:kern w:val="2"/>
          <w:sz w:val="32"/>
          <w:szCs w:val="32"/>
          <w:highlight w:val="none"/>
          <w:lang w:val="en-US" w:eastAsia="zh-CN"/>
        </w:rPr>
        <w:t>.11</w:t>
      </w:r>
      <w:r>
        <w:rPr>
          <w:rFonts w:hint="eastAsia" w:ascii="仿宋_GB2312" w:eastAsia="仿宋_GB2312" w:cs="仿宋_GB2312"/>
          <w:kern w:val="2"/>
          <w:sz w:val="32"/>
          <w:szCs w:val="32"/>
          <w:highlight w:val="none"/>
          <w:lang w:eastAsia="zh-CN"/>
        </w:rPr>
        <w:t>%；表外单个关联法人或非法人组织所在集团客户的授信余额最大为东源县泰和农业发展有限公司系列，授信余额4</w:t>
      </w:r>
      <w:r>
        <w:rPr>
          <w:rFonts w:hint="eastAsia" w:ascii="仿宋_GB2312" w:eastAsia="仿宋_GB2312" w:cs="仿宋_GB2312"/>
          <w:kern w:val="2"/>
          <w:sz w:val="32"/>
          <w:szCs w:val="32"/>
          <w:highlight w:val="none"/>
          <w:lang w:val="en-US" w:eastAsia="zh-CN"/>
        </w:rPr>
        <w:t>936</w:t>
      </w:r>
      <w:r>
        <w:rPr>
          <w:rFonts w:hint="eastAsia" w:ascii="仿宋_GB2312" w:eastAsia="仿宋_GB2312" w:cs="仿宋_GB2312"/>
          <w:kern w:val="2"/>
          <w:sz w:val="32"/>
          <w:szCs w:val="32"/>
          <w:highlight w:val="none"/>
          <w:lang w:eastAsia="zh-CN"/>
        </w:rPr>
        <w:t>万元，占上季末资本净额的5</w:t>
      </w:r>
      <w:r>
        <w:rPr>
          <w:rFonts w:hint="eastAsia" w:ascii="仿宋_GB2312" w:eastAsia="仿宋_GB2312" w:cs="仿宋_GB2312"/>
          <w:kern w:val="2"/>
          <w:sz w:val="32"/>
          <w:szCs w:val="32"/>
          <w:highlight w:val="none"/>
          <w:lang w:val="en-US" w:eastAsia="zh-CN"/>
        </w:rPr>
        <w:t>.03</w:t>
      </w:r>
      <w:r>
        <w:rPr>
          <w:rFonts w:hint="eastAsia" w:ascii="仿宋_GB2312" w:eastAsia="仿宋_GB2312" w:cs="仿宋_GB2312"/>
          <w:kern w:val="2"/>
          <w:sz w:val="32"/>
          <w:szCs w:val="32"/>
          <w:highlight w:val="none"/>
          <w:lang w:eastAsia="zh-CN"/>
        </w:rPr>
        <w:t>%；该集团客户表内加表外合计授信12895万元，占上季末资本净额的1</w:t>
      </w:r>
      <w:r>
        <w:rPr>
          <w:rFonts w:hint="eastAsia" w:ascii="仿宋_GB2312" w:eastAsia="仿宋_GB2312" w:cs="仿宋_GB2312"/>
          <w:kern w:val="2"/>
          <w:sz w:val="32"/>
          <w:szCs w:val="32"/>
          <w:highlight w:val="none"/>
          <w:lang w:val="en-US" w:eastAsia="zh-CN"/>
        </w:rPr>
        <w:t>3.14</w:t>
      </w:r>
      <w:r>
        <w:rPr>
          <w:rFonts w:hint="eastAsia" w:ascii="仿宋_GB2312" w:eastAsia="仿宋_GB2312" w:cs="仿宋_GB2312"/>
          <w:kern w:val="2"/>
          <w:sz w:val="32"/>
          <w:szCs w:val="32"/>
          <w:highlight w:val="none"/>
          <w:lang w:eastAsia="zh-CN"/>
        </w:rPr>
        <w:t>%，表内外单独占比、表内加表外占比均未超过本行资本净额的15%。全部关联方的授信余额14574.25万元（含表内9638.25万元、表外4936万元），占上季末资本净额的14.85%。其中一般关联交易授信余额为</w:t>
      </w:r>
      <w:r>
        <w:rPr>
          <w:rFonts w:hint="eastAsia" w:ascii="仿宋_GB2312" w:eastAsia="仿宋_GB2312" w:cs="仿宋_GB2312"/>
          <w:kern w:val="2"/>
          <w:sz w:val="32"/>
          <w:szCs w:val="32"/>
          <w:highlight w:val="none"/>
          <w:lang w:val="en-US" w:eastAsia="zh-CN"/>
        </w:rPr>
        <w:t>1679.25万元，占上季末资本净额的1.71%。关联交易各项指标均符合监管规定。</w:t>
      </w:r>
    </w:p>
    <w:bookmarkEnd w:id="1"/>
    <w:p>
      <w:pPr>
        <w:widowControl w:val="0"/>
        <w:spacing w:line="586" w:lineRule="exact"/>
        <w:ind w:firstLine="0"/>
        <w:jc w:val="both"/>
        <w:rPr>
          <w:rFonts w:ascii="仿宋_GB2312" w:eastAsia="仿宋_GB2312" w:cs="Times New Roman"/>
          <w:color w:val="auto"/>
          <w:kern w:val="2"/>
          <w:sz w:val="32"/>
          <w:szCs w:val="32"/>
          <w:lang w:val="en-US" w:eastAsia="zh-CN"/>
        </w:rPr>
      </w:pPr>
    </w:p>
    <w:p>
      <w:pPr>
        <w:widowControl w:val="0"/>
        <w:spacing w:line="586" w:lineRule="exact"/>
        <w:ind w:firstLine="0"/>
        <w:jc w:val="both"/>
        <w:rPr>
          <w:rFonts w:ascii="仿宋_GB2312" w:eastAsia="仿宋_GB2312" w:cs="Times New Roman"/>
          <w:color w:val="auto"/>
          <w:kern w:val="2"/>
          <w:sz w:val="32"/>
          <w:szCs w:val="32"/>
          <w:lang w:val="en-US" w:eastAsia="zh-CN"/>
        </w:rPr>
      </w:pPr>
    </w:p>
    <w:p>
      <w:pPr>
        <w:widowControl w:val="0"/>
        <w:spacing w:line="586" w:lineRule="exact"/>
        <w:ind w:firstLine="640"/>
        <w:jc w:val="right"/>
        <w:rPr>
          <w:rFonts w:hint="eastAsia" w:ascii="仿宋_GB2312" w:eastAsia="仿宋_GB2312" w:cs="Times New Roman"/>
          <w:color w:val="auto"/>
          <w:kern w:val="2"/>
          <w:sz w:val="32"/>
          <w:szCs w:val="32"/>
          <w:lang w:val="en-US" w:eastAsia="zh-CN"/>
        </w:rPr>
      </w:pPr>
      <w:r>
        <w:rPr>
          <w:rFonts w:hint="eastAsia" w:ascii="仿宋_GB2312" w:eastAsia="仿宋_GB2312" w:cs="Times New Roman"/>
          <w:color w:val="auto"/>
          <w:kern w:val="2"/>
          <w:sz w:val="32"/>
          <w:szCs w:val="32"/>
          <w:lang w:val="en-US" w:eastAsia="zh-CN"/>
        </w:rPr>
        <w:t xml:space="preserve">  广东紫金农村商业银行股份有限公司</w:t>
      </w:r>
    </w:p>
    <w:p>
      <w:pPr>
        <w:spacing w:line="586" w:lineRule="exact"/>
        <w:ind w:firstLine="640"/>
        <w:rPr>
          <w:rFonts w:hint="eastAsia" w:ascii="仿宋_GB2312" w:eastAsia="仿宋_GB2312"/>
          <w:sz w:val="28"/>
          <w:szCs w:val="28"/>
        </w:rPr>
      </w:pPr>
      <w:r>
        <w:rPr>
          <w:rFonts w:hint="eastAsia" w:ascii="仿宋_GB2312" w:eastAsia="仿宋_GB2312" w:cs="Times New Roman"/>
          <w:color w:val="auto"/>
          <w:kern w:val="2"/>
          <w:sz w:val="32"/>
          <w:szCs w:val="32"/>
          <w:lang w:val="en-US" w:eastAsia="zh-CN"/>
        </w:rPr>
        <w:t xml:space="preserve">                             2025年1月15日</w:t>
      </w:r>
    </w:p>
    <w:sectPr>
      <w:headerReference r:id="rId3" w:type="default"/>
      <w:footerReference r:id="rId4" w:type="default"/>
      <w:footerReference r:id="rId5" w:type="even"/>
      <w:pgSz w:w="11906" w:h="16838"/>
      <w:pgMar w:top="1814" w:right="1418" w:bottom="1814" w:left="1531" w:header="964" w:footer="1644" w:gutter="0"/>
      <w:cols w:space="720" w:num="1"/>
      <w:docGrid w:type="linesAndChars" w:linePitch="600" w:charSpace="-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435" w:wrap="around" w:vAnchor="text" w:hAnchor="page" w:x="9007" w:y="56"/>
      <w:jc w:val="center"/>
      <w:rPr>
        <w:rStyle w:val="22"/>
        <w:sz w:val="24"/>
      </w:rPr>
    </w:pPr>
    <w:r>
      <w:rPr>
        <w:rStyle w:val="22"/>
        <w:rFonts w:hint="eastAsia" w:ascii="仿宋_GB2312" w:hAnsi="仿宋_GB2312"/>
        <w:b/>
        <w:sz w:val="24"/>
      </w:rPr>
      <w:t>—</w:t>
    </w:r>
    <w:r>
      <w:rPr>
        <w:rStyle w:val="22"/>
        <w:rFonts w:ascii="仿宋_GB2312" w:hAnsi="仿宋_GB2312"/>
        <w:b/>
        <w:spacing w:val="-6"/>
        <w:sz w:val="28"/>
        <w:szCs w:val="28"/>
      </w:rPr>
      <w:t xml:space="preserve"> </w:t>
    </w:r>
    <w:r>
      <w:rPr>
        <w:rStyle w:val="22"/>
        <w:b/>
        <w:spacing w:val="-6"/>
        <w:sz w:val="28"/>
        <w:szCs w:val="28"/>
      </w:rPr>
      <w:fldChar w:fldCharType="begin"/>
    </w:r>
    <w:r>
      <w:rPr>
        <w:rStyle w:val="22"/>
        <w:b/>
        <w:spacing w:val="-6"/>
        <w:sz w:val="28"/>
        <w:szCs w:val="28"/>
      </w:rPr>
      <w:instrText xml:space="preserve">PAGE  </w:instrText>
    </w:r>
    <w:r>
      <w:rPr>
        <w:b/>
        <w:spacing w:val="-6"/>
        <w:sz w:val="28"/>
        <w:szCs w:val="28"/>
      </w:rPr>
      <w:fldChar w:fldCharType="separate"/>
    </w:r>
    <w:r>
      <w:rPr>
        <w:rStyle w:val="22"/>
        <w:b/>
        <w:spacing w:val="-6"/>
        <w:sz w:val="28"/>
        <w:szCs w:val="28"/>
        <w:lang w:val="en-US" w:eastAsia="zh-CN"/>
      </w:rPr>
      <w:t>1</w:t>
    </w:r>
    <w:r>
      <w:rPr>
        <w:b/>
        <w:spacing w:val="-6"/>
        <w:sz w:val="28"/>
        <w:szCs w:val="28"/>
      </w:rPr>
      <w:fldChar w:fldCharType="end"/>
    </w:r>
    <w:r>
      <w:rPr>
        <w:rStyle w:val="22"/>
        <w:b/>
        <w:spacing w:val="-6"/>
        <w:sz w:val="28"/>
        <w:szCs w:val="28"/>
      </w:rPr>
      <w:t xml:space="preserve"> </w:t>
    </w:r>
    <w:r>
      <w:rPr>
        <w:rStyle w:val="22"/>
        <w:rFonts w:hint="eastAsia" w:ascii="仿宋_GB2312" w:hAnsi="仿宋_GB2312"/>
        <w:b/>
        <w:sz w:val="24"/>
      </w:rPr>
      <w:t>—</w:t>
    </w:r>
  </w:p>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503" w:wrap="around" w:vAnchor="text" w:hAnchor="page" w:x="1419" w:y="56"/>
      <w:jc w:val="center"/>
      <w:rPr>
        <w:rStyle w:val="22"/>
        <w:sz w:val="24"/>
      </w:rPr>
    </w:pPr>
    <w:r>
      <w:rPr>
        <w:rStyle w:val="22"/>
        <w:rFonts w:hint="eastAsia" w:ascii="仿宋_GB2312" w:hAnsi="仿宋_GB2312"/>
        <w:b/>
        <w:sz w:val="24"/>
      </w:rPr>
      <w:t>—</w:t>
    </w:r>
    <w:r>
      <w:rPr>
        <w:rStyle w:val="22"/>
        <w:rFonts w:ascii="仿宋_GB2312" w:hAnsi="仿宋_GB2312"/>
        <w:b/>
        <w:spacing w:val="-6"/>
        <w:sz w:val="28"/>
        <w:szCs w:val="28"/>
      </w:rPr>
      <w:t xml:space="preserve"> </w:t>
    </w:r>
    <w:r>
      <w:rPr>
        <w:rStyle w:val="22"/>
        <w:b/>
        <w:spacing w:val="-6"/>
        <w:sz w:val="28"/>
        <w:szCs w:val="28"/>
      </w:rPr>
      <w:fldChar w:fldCharType="begin"/>
    </w:r>
    <w:r>
      <w:rPr>
        <w:rStyle w:val="22"/>
        <w:b/>
        <w:spacing w:val="-6"/>
        <w:sz w:val="28"/>
        <w:szCs w:val="28"/>
      </w:rPr>
      <w:instrText xml:space="preserve">PAGE  </w:instrText>
    </w:r>
    <w:r>
      <w:rPr>
        <w:b/>
        <w:spacing w:val="-6"/>
        <w:sz w:val="28"/>
        <w:szCs w:val="28"/>
      </w:rPr>
      <w:fldChar w:fldCharType="separate"/>
    </w:r>
    <w:r>
      <w:rPr>
        <w:rStyle w:val="22"/>
        <w:b/>
        <w:spacing w:val="-6"/>
        <w:sz w:val="28"/>
        <w:szCs w:val="28"/>
        <w:lang w:val="en-US" w:eastAsia="zh-CN"/>
      </w:rPr>
      <w:t>2</w:t>
    </w:r>
    <w:r>
      <w:rPr>
        <w:b/>
        <w:spacing w:val="-6"/>
        <w:sz w:val="28"/>
        <w:szCs w:val="28"/>
      </w:rPr>
      <w:fldChar w:fldCharType="end"/>
    </w:r>
    <w:r>
      <w:rPr>
        <w:rStyle w:val="22"/>
        <w:b/>
        <w:spacing w:val="-6"/>
        <w:sz w:val="28"/>
        <w:szCs w:val="28"/>
      </w:rPr>
      <w:t xml:space="preserve"> </w:t>
    </w:r>
    <w:r>
      <w:rPr>
        <w:rStyle w:val="22"/>
        <w:rFonts w:hint="eastAsia" w:ascii="仿宋_GB2312" w:hAnsi="仿宋_GB2312"/>
        <w:b/>
        <w:sz w:val="24"/>
      </w:rPr>
      <w:t>—</w:t>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revisionView w:markup="0"/>
  <w:trackRevisions w:val="1"/>
  <w:documentProtection w:edit="readOnly" w:enforcement="0"/>
  <w:defaultTabStop w:val="425"/>
  <w:evenAndOddHeaders w:val="1"/>
  <w:drawingGridHorizontalSpacing w:val="299"/>
  <w:drawingGridVerticalSpacing w:val="300"/>
  <w:displayHorizontalDrawingGridEvery w:val="1"/>
  <w:displayVerticalDrawingGridEvery w:val="1"/>
  <w:noPunctuationKerning w:val="1"/>
  <w:compat>
    <w:spaceForUL/>
    <w:balanceSingleByteDoubleByteWidth/>
    <w:ulTrailSpace/>
    <w:doNotExpandShiftReturn/>
    <w:doNotBreakWrappedTables/>
    <w:doNotWrapTextWithPunct/>
    <w:doNotUseEastAsianBreakRules/>
    <w:growAutofit/>
    <w:useFELayout/>
    <w:doNotUseIndentAsNumberingTabStop/>
    <w:useAltKinsokuLineBreakRules/>
    <w:splitPgBreakAndParaMark/>
    <w:compatSetting w:name="compatibilityMode" w:uri="http://schemas.microsoft.com/office/word" w:val="11"/>
  </w:compat>
  <w:rsids>
    <w:rsidRoot w:val="00000000"/>
    <w:rsid w:val="19190138"/>
    <w:rsid w:val="2E820F11"/>
    <w:rsid w:val="378654C3"/>
    <w:rsid w:val="38DA7B12"/>
    <w:rsid w:val="3C717017"/>
    <w:rsid w:val="3D37745B"/>
    <w:rsid w:val="5CD8040E"/>
    <w:rsid w:val="60D84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30"/>
      <w:szCs w:val="20"/>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autoSpaceDE w:val="0"/>
      <w:autoSpaceDN w:val="0"/>
      <w:adjustRightInd w:val="0"/>
      <w:spacing w:line="480" w:lineRule="exact"/>
      <w:ind w:firstLine="560"/>
      <w:jc w:val="left"/>
    </w:pPr>
    <w:rPr>
      <w:rFonts w:ascii="宋体" w:hAnsi="Times New Roman" w:eastAsia="宋体" w:cs="Times New Roman"/>
      <w:color w:val="000000"/>
      <w:kern w:val="0"/>
      <w:sz w:val="28"/>
      <w:szCs w:val="20"/>
      <w:lang w:val="en-US" w:eastAsia="zh-CN" w:bidi="ar-SA"/>
    </w:rPr>
  </w:style>
  <w:style w:type="paragraph" w:styleId="3">
    <w:name w:val="Body Text Indent 3"/>
    <w:basedOn w:val="1"/>
    <w:next w:val="4"/>
    <w:qFormat/>
    <w:uiPriority w:val="0"/>
    <w:pPr>
      <w:ind w:firstLine="624"/>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w:next w:val="9"/>
    <w:qFormat/>
    <w:uiPriority w:val="0"/>
    <w:pPr>
      <w:widowControl w:val="0"/>
      <w:jc w:val="both"/>
    </w:pPr>
    <w:rPr>
      <w:rFonts w:ascii="宋体" w:hAnsi="Times New Roman" w:eastAsia="宋体" w:cs="宋体"/>
      <w:kern w:val="2"/>
      <w:sz w:val="28"/>
      <w:szCs w:val="28"/>
      <w:lang w:val="en-US" w:eastAsia="zh-CN" w:bidi="ar-SA"/>
    </w:rPr>
  </w:style>
  <w:style w:type="paragraph" w:styleId="9">
    <w:name w:val="Balloon Text"/>
    <w:basedOn w:val="1"/>
    <w:qFormat/>
    <w:uiPriority w:val="0"/>
    <w:rPr>
      <w:sz w:val="18"/>
      <w:szCs w:val="18"/>
    </w:rPr>
  </w:style>
  <w:style w:type="paragraph" w:styleId="10">
    <w:name w:val="Body Text Indent"/>
    <w:basedOn w:val="1"/>
    <w:qFormat/>
    <w:uiPriority w:val="0"/>
    <w:pPr>
      <w:snapToGrid w:val="0"/>
      <w:ind w:left="1260" w:hanging="1260"/>
    </w:pPr>
    <w:rPr>
      <w:rFonts w:ascii="楷体_GB2312" w:eastAsia="楷体_GB2312"/>
      <w:sz w:val="24"/>
    </w:rPr>
  </w:style>
  <w:style w:type="paragraph" w:styleId="11">
    <w:name w:val="toc 5"/>
    <w:basedOn w:val="1"/>
    <w:next w:val="1"/>
    <w:qFormat/>
    <w:uiPriority w:val="0"/>
    <w:pPr>
      <w:ind w:left="1680"/>
    </w:pPr>
  </w:style>
  <w:style w:type="paragraph" w:styleId="12">
    <w:name w:val="toc 3"/>
    <w:basedOn w:val="1"/>
    <w:next w:val="1"/>
    <w:qFormat/>
    <w:uiPriority w:val="0"/>
    <w:pPr>
      <w:ind w:left="840"/>
    </w:pPr>
  </w:style>
  <w:style w:type="paragraph" w:styleId="13">
    <w:name w:val="Plain Text"/>
    <w:basedOn w:val="1"/>
    <w:qFormat/>
    <w:uiPriority w:val="0"/>
    <w:rPr>
      <w:rFonts w:ascii="宋体"/>
    </w:rPr>
  </w:style>
  <w:style w:type="paragraph" w:styleId="14">
    <w:name w:val="Date"/>
    <w:basedOn w:val="1"/>
    <w:next w:val="1"/>
    <w:qFormat/>
    <w:uiPriority w:val="0"/>
  </w:style>
  <w:style w:type="paragraph" w:styleId="15">
    <w:name w:val="Body Text Indent 2"/>
    <w:basedOn w:val="1"/>
    <w:qFormat/>
    <w:uiPriority w:val="0"/>
    <w:pPr>
      <w:ind w:firstLine="600"/>
    </w:pPr>
    <w:rPr>
      <w:rFonts w:ascii="仿宋_GB2312" w:hAnsi="仿宋_GB2312"/>
    </w:rPr>
  </w:style>
  <w:style w:type="paragraph" w:styleId="16">
    <w:name w:val="footer"/>
    <w:basedOn w:val="1"/>
    <w:qFormat/>
    <w:uiPriority w:val="0"/>
    <w:pPr>
      <w:tabs>
        <w:tab w:val="center" w:pos="4153"/>
        <w:tab w:val="right" w:pos="8306"/>
      </w:tabs>
      <w:snapToGrid w:val="0"/>
      <w:jc w:val="left"/>
    </w:pPr>
    <w:rPr>
      <w:sz w:val="18"/>
    </w:rPr>
  </w:style>
  <w:style w:type="paragraph" w:styleId="17">
    <w:name w:val="toc 1"/>
    <w:basedOn w:val="1"/>
    <w:next w:val="1"/>
    <w:qFormat/>
    <w:uiPriority w:val="0"/>
  </w:style>
  <w:style w:type="paragraph" w:styleId="18">
    <w:name w:val="toc 4"/>
    <w:basedOn w:val="1"/>
    <w:next w:val="1"/>
    <w:qFormat/>
    <w:uiPriority w:val="0"/>
    <w:pPr>
      <w:ind w:left="1260"/>
    </w:pPr>
  </w:style>
  <w:style w:type="paragraph" w:styleId="19">
    <w:name w:val="toc 2"/>
    <w:basedOn w:val="1"/>
    <w:next w:val="1"/>
    <w:qFormat/>
    <w:uiPriority w:val="0"/>
    <w:pPr>
      <w:ind w:left="420"/>
    </w:pPr>
  </w:style>
  <w:style w:type="character" w:styleId="22">
    <w:name w:val="page number"/>
    <w:basedOn w:val="21"/>
    <w:qFormat/>
    <w:uiPriority w:val="0"/>
  </w:style>
  <w:style w:type="paragraph" w:customStyle="1" w:styleId="23">
    <w:name w:val="Date"/>
    <w:basedOn w:val="1"/>
    <w:next w:val="1"/>
    <w:qFormat/>
    <w:uiPriority w:val="0"/>
    <w:pPr>
      <w:autoSpaceDE w:val="0"/>
      <w:autoSpaceDN w:val="0"/>
      <w:adjustRightInd w:val="0"/>
      <w:textAlignment w:val="baseline"/>
    </w:pPr>
    <w:rPr>
      <w:rFonts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957</Words>
  <Characters>1047</Characters>
  <Lines>56</Lines>
  <Paragraphs>21</Paragraphs>
  <TotalTime>7</TotalTime>
  <ScaleCrop>false</ScaleCrop>
  <LinksUpToDate>false</LinksUpToDate>
  <CharactersWithSpaces>1091</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2007-03-20T08:22:00Z</dcterms:created>
  <dc:creator>曾令练</dc:creator>
  <cp:keywords>FoxChit SOFTWARE SOLUTIONS</cp:keywords>
  <cp:lastModifiedBy>翁雪平(紫金)</cp:lastModifiedBy>
  <cp:lastPrinted>2006-06-22T07:55:00Z</cp:lastPrinted>
  <dcterms:modified xsi:type="dcterms:W3CDTF">2026-02-03T09:13:48Z</dcterms:modified>
  <dc:title>公文</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67E12F6CAAFC41568AE666EACE7D9F34</vt:lpwstr>
  </property>
</Properties>
</file>