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广东紫金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农村商业银行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股份有限公司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关于洋头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、九树、青溪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支行等三家机构调整的告知书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感谢您长期以来对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广东紫金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农村商业银行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的信任与支持！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因业务发展需要，经我行董事会研究决定，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国家金融监督管理总局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河源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局报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，我行洋头支行、九树支行、青溪支行将自202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日起，由支行降格为分理处。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现将有关事项告知如下：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一、降格后的变化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3254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事项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降格前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降格后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机构名称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广东紫金农村商业银行股份有限公司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洋头/九树/青溪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支行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广东紫金农村商业银行股份有限公司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洋头/九树/青溪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分理处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营业地址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不变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营业时间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不变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不变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存、取、汇业务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可办理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可办理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贷款业务</w:t>
            </w:r>
          </w:p>
        </w:tc>
        <w:tc>
          <w:tcPr>
            <w:tcW w:w="3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可办理</w:t>
            </w:r>
          </w:p>
        </w:tc>
        <w:tc>
          <w:tcPr>
            <w:tcW w:w="3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由分理处引导至就近支行办理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二、服务承诺不变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降格后，以下服务不受任何影响：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您的存款、贷款合同继续有效；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您的银行卡、存折继续正常使用；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社保卡激活、养老金领取、补贴发放等业务照常办理。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三、特别服务措施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为解决部分老年客户出行不便的问题，我行推出以下暖心服务：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上门服务：行动不便客户可拨打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0762</w:t>
      </w:r>
      <w:r>
        <w:rPr>
          <w:rFonts w:hint="eastAsia" w:ascii="仿宋_GB2312" w:hAnsi="仿宋_GB2312" w:eastAsia="仿宋_GB2312" w:cs="仿宋_GB2312"/>
          <w:sz w:val="32"/>
          <w:szCs w:val="32"/>
        </w:rPr>
        <w:t>-7399338预约，我们上门办理；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助农取款点：村口小卖部助农点可取小额现金。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四、咨询与投诉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如您有任何疑问或需要帮助，请拨打我行客服热线：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0762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7811048</w:t>
      </w:r>
      <w:r>
        <w:rPr>
          <w:rFonts w:hint="eastAsia" w:ascii="仿宋_GB2312" w:hAnsi="仿宋_GB2312" w:eastAsia="仿宋_GB2312" w:cs="仿宋_GB2312"/>
          <w:sz w:val="32"/>
          <w:szCs w:val="32"/>
        </w:rPr>
        <w:t>，或直接到分理处咨询。我们将在第一时间为您解决。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再次感谢您的理解与支持！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广东紫金农村商业银行股份有限公司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4423F"/>
    <w:rsid w:val="356B29BF"/>
    <w:rsid w:val="4B14673C"/>
    <w:rsid w:val="551437C7"/>
    <w:rsid w:val="674D5BD2"/>
    <w:rsid w:val="714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2026-05-26T07:07:00Z</dcterms:created>
  <dc:creator>Administrator</dc:creator>
  <cp:lastModifiedBy>Administrator</cp:lastModifiedBy>
  <dcterms:modified xsi:type="dcterms:W3CDTF">2026-07-02T01:20:06Z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872A1FC4E14E45A5839530CF5EDCD3ED</vt:lpwstr>
  </property>
</Properties>
</file>